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D00" w:rsidRDefault="002616D2">
      <w:pPr>
        <w:pStyle w:val="Standard"/>
        <w:jc w:val="center"/>
      </w:pPr>
      <w:bookmarkStart w:id="0" w:name="OLE_LINK1"/>
      <w:bookmarkStart w:id="1" w:name="_GoBack"/>
      <w:bookmarkEnd w:id="1"/>
      <w:r>
        <w:rPr>
          <w:rFonts w:ascii="標楷體" w:eastAsia="標楷體" w:hAnsi="標楷體" w:cs="標楷體"/>
          <w:color w:val="000000"/>
          <w:sz w:val="40"/>
          <w:szCs w:val="30"/>
        </w:rPr>
        <w:t>公立各級學校專任教師兼職處理原則</w:t>
      </w:r>
      <w:bookmarkEnd w:id="0"/>
      <w:r>
        <w:rPr>
          <w:rFonts w:ascii="標楷體" w:eastAsia="標楷體" w:hAnsi="標楷體" w:cs="標楷體"/>
          <w:color w:val="000000"/>
          <w:sz w:val="40"/>
          <w:szCs w:val="30"/>
        </w:rPr>
        <w:t>修正規定</w:t>
      </w:r>
    </w:p>
    <w:p w:rsidR="00133D00" w:rsidRDefault="002616D2">
      <w:pPr>
        <w:pStyle w:val="a5"/>
        <w:numPr>
          <w:ilvl w:val="0"/>
          <w:numId w:val="34"/>
        </w:numPr>
        <w:spacing w:line="440" w:lineRule="exact"/>
        <w:ind w:left="560" w:hanging="560"/>
        <w:jc w:val="both"/>
      </w:pPr>
      <w:r>
        <w:rPr>
          <w:rFonts w:ascii="標楷體" w:eastAsia="標楷體" w:hAnsi="標楷體" w:cs="標楷體"/>
          <w:color w:val="000000"/>
          <w:sz w:val="28"/>
          <w:szCs w:val="28"/>
        </w:rPr>
        <w:t>教育部（以下簡稱本部）為規範公立各級學校編制內專任教師</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以下簡稱教師</w:t>
      </w:r>
      <w:r>
        <w:rPr>
          <w:rFonts w:ascii="標楷體" w:eastAsia="標楷體" w:hAnsi="標楷體" w:cs="標楷體"/>
          <w:color w:val="000000"/>
          <w:sz w:val="28"/>
          <w:szCs w:val="28"/>
        </w:rPr>
        <w:t>)</w:t>
      </w:r>
      <w:r>
        <w:rPr>
          <w:rFonts w:ascii="標楷體" w:eastAsia="標楷體" w:hAnsi="標楷體" w:cs="標楷體"/>
          <w:color w:val="000000"/>
          <w:sz w:val="28"/>
          <w:szCs w:val="28"/>
        </w:rPr>
        <w:t>之兼職，特訂定本原則。</w:t>
      </w:r>
    </w:p>
    <w:p w:rsidR="00133D00" w:rsidRDefault="002616D2">
      <w:pPr>
        <w:pStyle w:val="a5"/>
        <w:numPr>
          <w:ilvl w:val="0"/>
          <w:numId w:val="2"/>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在服務學校以外之機關（構）、學校、法人、事業或團體兼職，依本原則規定辦理。但兼任行政職務之教師，其經營商業或投資營利事業、兼職範圍及許可程序，依公務員服務法規定辦理，不適用第三點至第六點及第十點規定。</w:t>
      </w:r>
    </w:p>
    <w:p w:rsidR="00133D00" w:rsidRDefault="002616D2">
      <w:pPr>
        <w:pStyle w:val="a5"/>
        <w:numPr>
          <w:ilvl w:val="0"/>
          <w:numId w:val="2"/>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教師不得經營商業或投資營利事業。但投資股份有限公司為股東，兩合公司為有限責任股東，或有限公司為非執行業務股東，而其所持有股份總額未超過其所投資公司股本總額百分之十者，不在此限。</w:t>
      </w:r>
    </w:p>
    <w:p w:rsidR="00133D00" w:rsidRDefault="002616D2">
      <w:pPr>
        <w:pStyle w:val="a5"/>
        <w:spacing w:line="440" w:lineRule="exact"/>
        <w:ind w:left="561" w:firstLine="560"/>
        <w:jc w:val="both"/>
        <w:rPr>
          <w:rFonts w:ascii="標楷體" w:eastAsia="標楷體" w:hAnsi="標楷體" w:cs="標楷體"/>
          <w:sz w:val="28"/>
          <w:szCs w:val="28"/>
        </w:rPr>
      </w:pPr>
      <w:r>
        <w:rPr>
          <w:rFonts w:ascii="標楷體" w:eastAsia="標楷體" w:hAnsi="標楷體" w:cs="標楷體"/>
          <w:sz w:val="28"/>
          <w:szCs w:val="28"/>
        </w:rPr>
        <w:t>教師持有之股份，符合下列各款規定之一者，其持股比例不受前項但書規定之限制：</w:t>
      </w:r>
    </w:p>
    <w:p w:rsidR="00133D00" w:rsidRDefault="002616D2">
      <w:pPr>
        <w:pStyle w:val="a5"/>
        <w:numPr>
          <w:ilvl w:val="0"/>
          <w:numId w:val="3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公立專科以上學校衍生新創公司之股份。</w:t>
      </w:r>
    </w:p>
    <w:p w:rsidR="00133D00" w:rsidRDefault="002616D2">
      <w:pPr>
        <w:pStyle w:val="a5"/>
        <w:numPr>
          <w:ilvl w:val="0"/>
          <w:numId w:val="2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教師依從事研究人員兼職與技術作價投資事業管理辦法，因其研發成果貢獻而分得持有公司設立時之股份，或技術作價增資之股份，併計股票股利之持股，不得超過該公司股份總數百分之四十。但為新創公司之股份者，不在此限。</w:t>
      </w:r>
    </w:p>
    <w:p w:rsidR="00133D00" w:rsidRDefault="002616D2">
      <w:pPr>
        <w:pStyle w:val="a5"/>
        <w:numPr>
          <w:ilvl w:val="0"/>
          <w:numId w:val="2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教師依第五點第八</w:t>
      </w:r>
      <w:r>
        <w:rPr>
          <w:rFonts w:ascii="標楷體" w:eastAsia="標楷體" w:hAnsi="標楷體" w:cs="標楷體"/>
          <w:sz w:val="28"/>
          <w:szCs w:val="28"/>
        </w:rPr>
        <w:t>項兼任新創生技新藥公司董事，經學校同意，持有該公司設立時之股份。</w:t>
      </w:r>
    </w:p>
    <w:p w:rsidR="00133D00" w:rsidRDefault="002616D2">
      <w:pPr>
        <w:pStyle w:val="a5"/>
        <w:numPr>
          <w:ilvl w:val="0"/>
          <w:numId w:val="2"/>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教師得於國內兼職之範圍如下：</w:t>
      </w:r>
    </w:p>
    <w:p w:rsidR="00133D00" w:rsidRDefault="002616D2">
      <w:pPr>
        <w:pStyle w:val="a5"/>
        <w:numPr>
          <w:ilvl w:val="0"/>
          <w:numId w:val="36"/>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政府機關（構）、公立學校及已立案之私立學校。</w:t>
      </w:r>
    </w:p>
    <w:p w:rsidR="00133D00" w:rsidRDefault="002616D2">
      <w:pPr>
        <w:pStyle w:val="a5"/>
        <w:numPr>
          <w:ilvl w:val="0"/>
          <w:numId w:val="2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行政法人。</w:t>
      </w:r>
    </w:p>
    <w:p w:rsidR="00133D00" w:rsidRDefault="002616D2">
      <w:pPr>
        <w:pStyle w:val="a5"/>
        <w:numPr>
          <w:ilvl w:val="0"/>
          <w:numId w:val="2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非以營利為目的之事業或團體：</w:t>
      </w:r>
    </w:p>
    <w:p w:rsidR="00133D00" w:rsidRDefault="002616D2">
      <w:pPr>
        <w:pStyle w:val="a5"/>
        <w:numPr>
          <w:ilvl w:val="0"/>
          <w:numId w:val="37"/>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公營、私營或公私合營之事業。</w:t>
      </w:r>
    </w:p>
    <w:p w:rsidR="00133D00" w:rsidRDefault="002616D2">
      <w:pPr>
        <w:pStyle w:val="a5"/>
        <w:numPr>
          <w:ilvl w:val="0"/>
          <w:numId w:val="6"/>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依法向主管機關登記或立案成立之法人、事業或團體。</w:t>
      </w:r>
    </w:p>
    <w:p w:rsidR="00133D00" w:rsidRDefault="002616D2">
      <w:pPr>
        <w:pStyle w:val="a5"/>
        <w:numPr>
          <w:ilvl w:val="0"/>
          <w:numId w:val="6"/>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國際性學術或專業組織。</w:t>
      </w:r>
    </w:p>
    <w:p w:rsidR="00133D00" w:rsidRDefault="002616D2">
      <w:pPr>
        <w:pStyle w:val="a5"/>
        <w:numPr>
          <w:ilvl w:val="0"/>
          <w:numId w:val="2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營利事業機構或團體：</w:t>
      </w:r>
    </w:p>
    <w:p w:rsidR="00133D00" w:rsidRDefault="002616D2">
      <w:pPr>
        <w:pStyle w:val="a5"/>
        <w:numPr>
          <w:ilvl w:val="0"/>
          <w:numId w:val="38"/>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與學校建立產學合作關係者。</w:t>
      </w:r>
    </w:p>
    <w:p w:rsidR="00133D00" w:rsidRDefault="002616D2">
      <w:pPr>
        <w:pStyle w:val="a5"/>
        <w:numPr>
          <w:ilvl w:val="0"/>
          <w:numId w:val="24"/>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政府機關（構）或學校持有其股份者。</w:t>
      </w:r>
    </w:p>
    <w:p w:rsidR="00133D00" w:rsidRDefault="002616D2">
      <w:pPr>
        <w:pStyle w:val="a5"/>
        <w:numPr>
          <w:ilvl w:val="0"/>
          <w:numId w:val="24"/>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承接政府機關（構）研究計畫者。</w:t>
      </w:r>
    </w:p>
    <w:p w:rsidR="00133D00" w:rsidRDefault="002616D2">
      <w:pPr>
        <w:pStyle w:val="a5"/>
        <w:numPr>
          <w:ilvl w:val="0"/>
          <w:numId w:val="24"/>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公營事業機構之任務編組或臨時性組織。</w:t>
      </w:r>
    </w:p>
    <w:p w:rsidR="00133D00" w:rsidRDefault="002616D2">
      <w:pPr>
        <w:pStyle w:val="a5"/>
        <w:numPr>
          <w:ilvl w:val="0"/>
          <w:numId w:val="24"/>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經學校認定具一定學術地位之學術期刊出版組織。</w:t>
      </w:r>
    </w:p>
    <w:p w:rsidR="00133D00" w:rsidRDefault="002616D2">
      <w:pPr>
        <w:pStyle w:val="a5"/>
        <w:numPr>
          <w:ilvl w:val="0"/>
          <w:numId w:val="24"/>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lastRenderedPageBreak/>
        <w:t>依本部訂定之課程綱要編輯教科用書、教師用書或教師手冊之出版組織。</w:t>
      </w:r>
    </w:p>
    <w:p w:rsidR="00133D00" w:rsidRDefault="002616D2">
      <w:pPr>
        <w:pStyle w:val="a5"/>
        <w:numPr>
          <w:ilvl w:val="0"/>
          <w:numId w:val="2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新創生技新藥公司。</w:t>
      </w:r>
    </w:p>
    <w:p w:rsidR="00133D00" w:rsidRDefault="002616D2">
      <w:pPr>
        <w:pStyle w:val="a5"/>
        <w:numPr>
          <w:ilvl w:val="0"/>
          <w:numId w:val="2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從事研究人員兼職與技術作價投資事業管理辦法所定企業、機構、團體或新創公司。</w:t>
      </w:r>
    </w:p>
    <w:p w:rsidR="00133D00" w:rsidRDefault="002616D2">
      <w:pPr>
        <w:pStyle w:val="Standard"/>
        <w:spacing w:line="440" w:lineRule="exact"/>
        <w:ind w:left="561" w:firstLine="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教師得於國外、香港或澳門地區兼職之範圍如下：</w:t>
      </w:r>
    </w:p>
    <w:p w:rsidR="00133D00" w:rsidRDefault="002616D2">
      <w:pPr>
        <w:pStyle w:val="a5"/>
        <w:numPr>
          <w:ilvl w:val="0"/>
          <w:numId w:val="3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經當地主管機關設立或立案之學校。</w:t>
      </w:r>
    </w:p>
    <w:p w:rsidR="00133D00" w:rsidRDefault="002616D2">
      <w:pPr>
        <w:pStyle w:val="a5"/>
        <w:numPr>
          <w:ilvl w:val="0"/>
          <w:numId w:val="8"/>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國際性學術或專業組織。</w:t>
      </w:r>
    </w:p>
    <w:p w:rsidR="00133D00" w:rsidRDefault="002616D2">
      <w:pPr>
        <w:pStyle w:val="a5"/>
        <w:numPr>
          <w:ilvl w:val="0"/>
          <w:numId w:val="8"/>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經學校認定具一定學術地位之學術期刊出版組織。</w:t>
      </w:r>
    </w:p>
    <w:p w:rsidR="00133D00" w:rsidRDefault="002616D2">
      <w:pPr>
        <w:pStyle w:val="a5"/>
        <w:numPr>
          <w:ilvl w:val="0"/>
          <w:numId w:val="8"/>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與學校建立產學合作關係並已於我國第一上市（櫃）之外國公司或經董事會、股東會決議規劃於我國申請第一上市（櫃）之外國公司。</w:t>
      </w:r>
    </w:p>
    <w:p w:rsidR="00133D00" w:rsidRDefault="002616D2">
      <w:pPr>
        <w:pStyle w:val="a5"/>
        <w:numPr>
          <w:ilvl w:val="0"/>
          <w:numId w:val="8"/>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從事研究人員兼職與技術作價投資事業管理辦法所定企業、機構、團體。</w:t>
      </w:r>
    </w:p>
    <w:p w:rsidR="00133D00" w:rsidRDefault="002616D2">
      <w:pPr>
        <w:pStyle w:val="a5"/>
        <w:spacing w:line="440" w:lineRule="exact"/>
        <w:ind w:left="561" w:firstLine="560"/>
        <w:jc w:val="both"/>
        <w:rPr>
          <w:rFonts w:ascii="標楷體" w:eastAsia="標楷體" w:hAnsi="標楷體" w:cs="標楷體"/>
          <w:sz w:val="28"/>
          <w:szCs w:val="28"/>
        </w:rPr>
      </w:pPr>
      <w:r>
        <w:rPr>
          <w:rFonts w:ascii="標楷體" w:eastAsia="標楷體" w:hAnsi="標楷體" w:cs="標楷體"/>
          <w:sz w:val="28"/>
          <w:szCs w:val="28"/>
        </w:rPr>
        <w:t>第一項第四款第一目至第五目、第五款、第六款及前項第三款至第五款兼職，以專科以上學校教師為限。</w:t>
      </w:r>
    </w:p>
    <w:p w:rsidR="00133D00" w:rsidRDefault="002616D2">
      <w:pPr>
        <w:pStyle w:val="a5"/>
        <w:numPr>
          <w:ilvl w:val="0"/>
          <w:numId w:val="2"/>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教師至前點所定兼職機關（構）、學校、法人、事業或團體兼任之職務，應與教學或研究專長領域相關，且不得兼任下列職務：</w:t>
      </w:r>
    </w:p>
    <w:p w:rsidR="00133D00" w:rsidRDefault="002616D2">
      <w:pPr>
        <w:pStyle w:val="Standard"/>
        <w:numPr>
          <w:ilvl w:val="0"/>
          <w:numId w:val="40"/>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律師、會計師、建築師、技師等專業法律規範之職務。</w:t>
      </w:r>
      <w:r>
        <w:rPr>
          <w:rFonts w:ascii="標楷體" w:eastAsia="標楷體" w:hAnsi="標楷體" w:cs="標楷體"/>
          <w:color w:val="000000"/>
          <w:sz w:val="28"/>
          <w:szCs w:val="28"/>
        </w:rPr>
        <w:t>但於下班時間因從事或參與社會公益性質之事務而依各該專業法規辦理相關事宜者，不在此限。</w:t>
      </w:r>
    </w:p>
    <w:p w:rsidR="00133D00" w:rsidRDefault="002616D2">
      <w:pPr>
        <w:pStyle w:val="a5"/>
        <w:numPr>
          <w:ilvl w:val="0"/>
          <w:numId w:val="12"/>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私立學校之董事長及編制內行政職務。</w:t>
      </w:r>
    </w:p>
    <w:p w:rsidR="00133D00" w:rsidRDefault="002616D2">
      <w:pPr>
        <w:pStyle w:val="a5"/>
        <w:numPr>
          <w:ilvl w:val="0"/>
          <w:numId w:val="12"/>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香港或澳門地區主管機關設立或立案學校之職務，有損害我國國格、國家安全之虞者。</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教師至前點第一項第四款第一目所定營利事業機構或團體及第二</w:t>
      </w:r>
      <w:r>
        <w:rPr>
          <w:rFonts w:ascii="標楷體" w:eastAsia="標楷體" w:hAnsi="標楷體" w:cs="標楷體"/>
          <w:sz w:val="28"/>
          <w:szCs w:val="28"/>
        </w:rPr>
        <w:t>項第四款所定外國公司兼任董事、監察人或獨立董事，除應符合前項規定外，並應符合下列各款規定之一：</w:t>
      </w:r>
    </w:p>
    <w:p w:rsidR="00133D00" w:rsidRDefault="002616D2">
      <w:pPr>
        <w:pStyle w:val="a5"/>
        <w:numPr>
          <w:ilvl w:val="0"/>
          <w:numId w:val="41"/>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依證券交易法或期貨交易法規定，由主管機關指派，或由董事會遴選，經主管機關核定之非股東董事或非股東監察人。</w:t>
      </w:r>
    </w:p>
    <w:p w:rsidR="00133D00" w:rsidRDefault="002616D2">
      <w:pPr>
        <w:pStyle w:val="a5"/>
        <w:numPr>
          <w:ilvl w:val="0"/>
          <w:numId w:val="21"/>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國營事業、已上市（櫃）公司或經董事會、股東會決議規劃申請上市（櫃）之未上市（櫃）公開發行公司之獨立董事。</w:t>
      </w:r>
    </w:p>
    <w:p w:rsidR="00133D00" w:rsidRDefault="002616D2">
      <w:pPr>
        <w:pStyle w:val="a5"/>
        <w:numPr>
          <w:ilvl w:val="0"/>
          <w:numId w:val="21"/>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金融控股公司百分之百持有之銀行、票券、保險及綜合證券商等子公司之獨立董事。</w:t>
      </w:r>
    </w:p>
    <w:p w:rsidR="00133D00" w:rsidRDefault="002616D2">
      <w:pPr>
        <w:pStyle w:val="a5"/>
        <w:numPr>
          <w:ilvl w:val="0"/>
          <w:numId w:val="21"/>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已於我國第一上市</w:t>
      </w:r>
      <w:r>
        <w:rPr>
          <w:rFonts w:ascii="標楷體" w:eastAsia="標楷體" w:hAnsi="標楷體" w:cs="標楷體"/>
          <w:sz w:val="28"/>
          <w:szCs w:val="28"/>
        </w:rPr>
        <w:t>(</w:t>
      </w:r>
      <w:r>
        <w:rPr>
          <w:rFonts w:ascii="標楷體" w:eastAsia="標楷體" w:hAnsi="標楷體" w:cs="標楷體"/>
          <w:sz w:val="28"/>
          <w:szCs w:val="28"/>
        </w:rPr>
        <w:t>櫃</w:t>
      </w:r>
      <w:r>
        <w:rPr>
          <w:rFonts w:ascii="標楷體" w:eastAsia="標楷體" w:hAnsi="標楷體" w:cs="標楷體"/>
          <w:sz w:val="28"/>
          <w:szCs w:val="28"/>
        </w:rPr>
        <w:t>)</w:t>
      </w:r>
      <w:r>
        <w:rPr>
          <w:rFonts w:ascii="標楷體" w:eastAsia="標楷體" w:hAnsi="標楷體" w:cs="標楷體"/>
          <w:sz w:val="28"/>
          <w:szCs w:val="28"/>
        </w:rPr>
        <w:t>之外國公司或經董事會、股東會決議規劃於</w:t>
      </w:r>
      <w:r>
        <w:rPr>
          <w:rFonts w:ascii="標楷體" w:eastAsia="標楷體" w:hAnsi="標楷體" w:cs="標楷體"/>
          <w:sz w:val="28"/>
          <w:szCs w:val="28"/>
        </w:rPr>
        <w:lastRenderedPageBreak/>
        <w:t>我國申請第一上市</w:t>
      </w:r>
      <w:r>
        <w:rPr>
          <w:rFonts w:ascii="標楷體" w:eastAsia="標楷體" w:hAnsi="標楷體" w:cs="標楷體"/>
          <w:sz w:val="28"/>
          <w:szCs w:val="28"/>
        </w:rPr>
        <w:t>(</w:t>
      </w:r>
      <w:r>
        <w:rPr>
          <w:rFonts w:ascii="標楷體" w:eastAsia="標楷體" w:hAnsi="標楷體" w:cs="標楷體"/>
          <w:sz w:val="28"/>
          <w:szCs w:val="28"/>
        </w:rPr>
        <w:t>櫃</w:t>
      </w:r>
      <w:r>
        <w:rPr>
          <w:rFonts w:ascii="標楷體" w:eastAsia="標楷體" w:hAnsi="標楷體" w:cs="標楷體"/>
          <w:sz w:val="28"/>
          <w:szCs w:val="28"/>
        </w:rPr>
        <w:t>)</w:t>
      </w:r>
      <w:r>
        <w:rPr>
          <w:rFonts w:ascii="標楷體" w:eastAsia="標楷體" w:hAnsi="標楷體" w:cs="標楷體"/>
          <w:sz w:val="28"/>
          <w:szCs w:val="28"/>
        </w:rPr>
        <w:t>之外國公司之獨立董事。</w:t>
      </w:r>
    </w:p>
    <w:p w:rsidR="00133D00" w:rsidRDefault="002616D2">
      <w:pPr>
        <w:pStyle w:val="Standard"/>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教師至前點第一項第四款第二目所定營利事業機構或團體兼任董事或監察人，除應符合第一項規定外，並應由政府機關（構）或學校依法指派教師代</w:t>
      </w:r>
      <w:r>
        <w:rPr>
          <w:rFonts w:ascii="標楷體" w:eastAsia="標楷體" w:hAnsi="標楷體" w:cs="標楷體"/>
          <w:color w:val="000000"/>
          <w:sz w:val="28"/>
          <w:szCs w:val="28"/>
        </w:rPr>
        <w:t>表其持有股</w:t>
      </w:r>
      <w:r>
        <w:rPr>
          <w:rFonts w:ascii="標楷體" w:eastAsia="標楷體" w:hAnsi="標楷體" w:cs="標楷體"/>
          <w:sz w:val="28"/>
          <w:szCs w:val="28"/>
        </w:rPr>
        <w:t>份。</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教師至前點第一項第四款第一目、第二目所定營利事業機構或團體及第二項第四款所定外國公司兼任董事、監察人或獨立董事時，學校應主動公開教師姓名、兼職機構、團體或外國公司名稱及兼任職務等資訊。</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教師至前點第一項第四款第三目所定承接政府機關（構）研究計畫之營利事業機構或團體兼職，以兼任該研究計畫職務為限。</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教師至前點第一項第四款第四目所定公營事業機構之任務編組或臨時性組織兼</w:t>
      </w:r>
      <w:r>
        <w:rPr>
          <w:rFonts w:ascii="標楷體" w:eastAsia="標楷體" w:hAnsi="標楷體" w:cs="標楷體"/>
          <w:sz w:val="28"/>
          <w:szCs w:val="28"/>
        </w:rPr>
        <w:t>職，以兼任臨時性需要所設置職務為限。</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教師至前點第一項第四款第五目、第六目及第二項第三款所定出版組織兼職，以兼任顧問及編輯職務為限。</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教師至前點第一項第五款所定新創生技新藥公司兼任董事，應符合下列條件之一：</w:t>
      </w:r>
    </w:p>
    <w:p w:rsidR="00133D00" w:rsidRDefault="002616D2">
      <w:pPr>
        <w:pStyle w:val="a5"/>
        <w:numPr>
          <w:ilvl w:val="0"/>
          <w:numId w:val="42"/>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持有新創生技新藥公司研發製造使用於人類或動植物用新藥之主要技術。</w:t>
      </w:r>
    </w:p>
    <w:p w:rsidR="00133D00" w:rsidRDefault="002616D2">
      <w:pPr>
        <w:pStyle w:val="a5"/>
        <w:numPr>
          <w:ilvl w:val="0"/>
          <w:numId w:val="14"/>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持有新創生技新藥公司研發製造、植入或置入人體內屬第三等級高風險醫療器材之主要技術。</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教師因科學研究業務需要，得至前點第一項第六款及第二項第五款所定企業、機構、團體或新創公司兼任下列職務；其相關兼職管理規範應依從事研究人員兼職與技術作價投資</w:t>
      </w:r>
      <w:r>
        <w:rPr>
          <w:rFonts w:ascii="標楷體" w:eastAsia="標楷體" w:hAnsi="標楷體" w:cs="標楷體"/>
          <w:sz w:val="28"/>
          <w:szCs w:val="28"/>
        </w:rPr>
        <w:t>事業管理辦法規定辦理，不適用第七點規定：</w:t>
      </w:r>
    </w:p>
    <w:p w:rsidR="00133D00" w:rsidRDefault="002616D2">
      <w:pPr>
        <w:pStyle w:val="a5"/>
        <w:numPr>
          <w:ilvl w:val="0"/>
          <w:numId w:val="43"/>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與教師本職研究領域相關，且非執行經營業務之職務。</w:t>
      </w:r>
    </w:p>
    <w:p w:rsidR="00133D00" w:rsidRDefault="002616D2">
      <w:pPr>
        <w:pStyle w:val="a5"/>
        <w:numPr>
          <w:ilvl w:val="0"/>
          <w:numId w:val="31"/>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持有新創公司主要研發技術者，得兼任新創公司董事。</w:t>
      </w:r>
    </w:p>
    <w:p w:rsidR="00133D00" w:rsidRDefault="002616D2">
      <w:pPr>
        <w:pStyle w:val="a5"/>
        <w:numPr>
          <w:ilvl w:val="0"/>
          <w:numId w:val="2"/>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高級中等以下學校教師至第四點第一項第四款第六目所定之出版組織兼任顧問及編輯職務者，應符合下列各款規定：</w:t>
      </w:r>
    </w:p>
    <w:p w:rsidR="00133D00" w:rsidRDefault="002616D2">
      <w:pPr>
        <w:pStyle w:val="a5"/>
        <w:numPr>
          <w:ilvl w:val="0"/>
          <w:numId w:val="4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曾任教科圖書審定委員會、課程發展委員會委員、直轄市、縣（市）輔導團團員、學科中心或群科中心種子教師及研究教師，或曾協助主管教育行政機關研發補充教材或命題者。</w:t>
      </w:r>
    </w:p>
    <w:p w:rsidR="00133D00" w:rsidRDefault="002616D2">
      <w:pPr>
        <w:pStyle w:val="a5"/>
        <w:numPr>
          <w:ilvl w:val="0"/>
          <w:numId w:val="27"/>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不得有商業行為。</w:t>
      </w:r>
    </w:p>
    <w:p w:rsidR="00133D00" w:rsidRDefault="002616D2">
      <w:pPr>
        <w:pStyle w:val="a5"/>
        <w:numPr>
          <w:ilvl w:val="0"/>
          <w:numId w:val="27"/>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不得與職務、職權相牴觸。</w:t>
      </w:r>
    </w:p>
    <w:p w:rsidR="00133D00" w:rsidRDefault="002616D2">
      <w:pPr>
        <w:pStyle w:val="a5"/>
        <w:numPr>
          <w:ilvl w:val="0"/>
          <w:numId w:val="27"/>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不得同時參與教科圖書審定及學校教科圖書選用作業。</w:t>
      </w:r>
    </w:p>
    <w:p w:rsidR="00133D00" w:rsidRDefault="002616D2">
      <w:pPr>
        <w:pStyle w:val="a5"/>
        <w:numPr>
          <w:ilvl w:val="0"/>
          <w:numId w:val="2"/>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教師兼任職務不得影響本職工作，且應符合校內基本授課時數及工作要求；以執行經常性業務為主者，其兼職時數每週合計不得超過八小時。</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專科以上學校教師於寒暑假期間之兼職時數得由各校自訂兼職時數上限規範，不受前項規定限制。</w:t>
      </w:r>
    </w:p>
    <w:p w:rsidR="00133D00" w:rsidRDefault="002616D2">
      <w:pPr>
        <w:pStyle w:val="a5"/>
        <w:numPr>
          <w:ilvl w:val="0"/>
          <w:numId w:val="2"/>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教師兼職費之支給，依軍公教人員兼職費支給表辦理。</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專科以上學校教師兼職費之支給個數及支給上限不受前項支給規定之限制。</w:t>
      </w:r>
    </w:p>
    <w:p w:rsidR="00133D00" w:rsidRDefault="002616D2">
      <w:pPr>
        <w:pStyle w:val="a5"/>
        <w:numPr>
          <w:ilvl w:val="0"/>
          <w:numId w:val="2"/>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教師兼職數目，除各主管教育行政機關及各目的事業主管機關另有規定外，由各級學校定之。</w:t>
      </w:r>
    </w:p>
    <w:p w:rsidR="00133D00" w:rsidRDefault="002616D2">
      <w:pPr>
        <w:pStyle w:val="a5"/>
        <w:numPr>
          <w:ilvl w:val="0"/>
          <w:numId w:val="2"/>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教師兼職除相關法令規定隨職務異動或當然兼職者外，應事先提出申請，並經學校書面核准。於期滿續兼或兼職職務異動時，應重行申請。</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前項兼職如須經兼職營利事業機構或團體提名選任之前置作業程序，教師於應邀提名選任該等職務時，亦應依前項規定辦理；如至非營利事業機構或團體兼職時，教師得比照前開規定辦理；未獲選任該等職務，教師應通知學校。</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教師兼職對本職工作、學術名譽及尊嚴無不良影響，亦無與其本職不相容之下列情形者，得免依第一項規定報經學校核准：</w:t>
      </w:r>
    </w:p>
    <w:p w:rsidR="00133D00" w:rsidRDefault="002616D2">
      <w:pPr>
        <w:pStyle w:val="a5"/>
        <w:numPr>
          <w:ilvl w:val="0"/>
          <w:numId w:val="4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非常態性應邀演講或授課，且分享或發表內容未具營利目的或商業宣傳行為。</w:t>
      </w:r>
    </w:p>
    <w:p w:rsidR="00133D00" w:rsidRDefault="002616D2">
      <w:pPr>
        <w:pStyle w:val="a5"/>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兼任政府機關</w:t>
      </w:r>
      <w:r>
        <w:rPr>
          <w:rFonts w:ascii="標楷體" w:eastAsia="標楷體" w:hAnsi="標楷體" w:cs="標楷體"/>
          <w:sz w:val="28"/>
          <w:szCs w:val="28"/>
        </w:rPr>
        <w:t>(</w:t>
      </w:r>
      <w:r>
        <w:rPr>
          <w:rFonts w:ascii="標楷體" w:eastAsia="標楷體" w:hAnsi="標楷體" w:cs="標楷體"/>
          <w:sz w:val="28"/>
          <w:szCs w:val="28"/>
        </w:rPr>
        <w:t>構</w:t>
      </w:r>
      <w:r>
        <w:rPr>
          <w:rFonts w:ascii="標楷體" w:eastAsia="標楷體" w:hAnsi="標楷體" w:cs="標楷體"/>
          <w:sz w:val="28"/>
          <w:szCs w:val="28"/>
        </w:rPr>
        <w:t>)</w:t>
      </w:r>
      <w:r>
        <w:rPr>
          <w:rFonts w:ascii="標楷體" w:eastAsia="標楷體" w:hAnsi="標楷體" w:cs="標楷體"/>
          <w:sz w:val="28"/>
          <w:szCs w:val="28"/>
        </w:rPr>
        <w:t>、學校、行政法人之任務編組職務或諮詢性職務，或擔任政府機關</w:t>
      </w:r>
      <w:r>
        <w:rPr>
          <w:rFonts w:ascii="標楷體" w:eastAsia="標楷體" w:hAnsi="標楷體" w:cs="標楷體"/>
          <w:sz w:val="28"/>
          <w:szCs w:val="28"/>
        </w:rPr>
        <w:t>(</w:t>
      </w:r>
      <w:r>
        <w:rPr>
          <w:rFonts w:ascii="標楷體" w:eastAsia="標楷體" w:hAnsi="標楷體" w:cs="標楷體"/>
          <w:sz w:val="28"/>
          <w:szCs w:val="28"/>
        </w:rPr>
        <w:t>構</w:t>
      </w:r>
      <w:r>
        <w:rPr>
          <w:rFonts w:ascii="標楷體" w:eastAsia="標楷體" w:hAnsi="標楷體" w:cs="標楷體"/>
          <w:sz w:val="28"/>
          <w:szCs w:val="28"/>
        </w:rPr>
        <w:t>)</w:t>
      </w:r>
      <w:r>
        <w:rPr>
          <w:rFonts w:ascii="標楷體" w:eastAsia="標楷體" w:hAnsi="標楷體" w:cs="標楷體"/>
          <w:sz w:val="28"/>
          <w:szCs w:val="28"/>
        </w:rPr>
        <w:t>、學校、行政法人會議之專家代表。</w:t>
      </w:r>
    </w:p>
    <w:p w:rsidR="00133D00" w:rsidRDefault="002616D2">
      <w:pPr>
        <w:pStyle w:val="a5"/>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所兼職務依法令規定應予保密。</w:t>
      </w:r>
    </w:p>
    <w:p w:rsidR="00133D00" w:rsidRDefault="002616D2">
      <w:pPr>
        <w:pStyle w:val="a5"/>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應政府機關</w:t>
      </w:r>
      <w:r>
        <w:rPr>
          <w:rFonts w:ascii="標楷體" w:eastAsia="標楷體" w:hAnsi="標楷體" w:cs="標楷體"/>
          <w:sz w:val="28"/>
          <w:szCs w:val="28"/>
        </w:rPr>
        <w:t>(</w:t>
      </w:r>
      <w:r>
        <w:rPr>
          <w:rFonts w:ascii="標楷體" w:eastAsia="標楷體" w:hAnsi="標楷體" w:cs="標楷體"/>
          <w:sz w:val="28"/>
          <w:szCs w:val="28"/>
        </w:rPr>
        <w:t>構</w:t>
      </w:r>
      <w:r>
        <w:rPr>
          <w:rFonts w:ascii="標楷體" w:eastAsia="標楷體" w:hAnsi="標楷體" w:cs="標楷體"/>
          <w:sz w:val="28"/>
          <w:szCs w:val="28"/>
        </w:rPr>
        <w:t>)</w:t>
      </w:r>
      <w:r>
        <w:rPr>
          <w:rFonts w:ascii="標楷體" w:eastAsia="標楷體" w:hAnsi="標楷體" w:cs="標楷體"/>
          <w:sz w:val="28"/>
          <w:szCs w:val="28"/>
        </w:rPr>
        <w:t>、學校、行政法人或非以營利為目的之事業或團體之邀請，兼任非決策或執行業務之職務，僅支領交通費或出席費，且無其他對價回饋。</w:t>
      </w:r>
    </w:p>
    <w:p w:rsidR="00133D00" w:rsidRDefault="002616D2">
      <w:pPr>
        <w:pStyle w:val="a5"/>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應政府機關</w:t>
      </w:r>
      <w:r>
        <w:rPr>
          <w:rFonts w:ascii="標楷體" w:eastAsia="標楷體" w:hAnsi="標楷體" w:cs="標楷體"/>
          <w:sz w:val="28"/>
          <w:szCs w:val="28"/>
        </w:rPr>
        <w:t>(</w:t>
      </w:r>
      <w:r>
        <w:rPr>
          <w:rFonts w:ascii="標楷體" w:eastAsia="標楷體" w:hAnsi="標楷體" w:cs="標楷體"/>
          <w:sz w:val="28"/>
          <w:szCs w:val="28"/>
        </w:rPr>
        <w:t>構</w:t>
      </w:r>
      <w:r>
        <w:rPr>
          <w:rFonts w:ascii="標楷體" w:eastAsia="標楷體" w:hAnsi="標楷體" w:cs="標楷體"/>
          <w:sz w:val="28"/>
          <w:szCs w:val="28"/>
        </w:rPr>
        <w:t>)</w:t>
      </w:r>
      <w:r>
        <w:rPr>
          <w:rFonts w:ascii="標楷體" w:eastAsia="標楷體" w:hAnsi="標楷體" w:cs="標楷體"/>
          <w:sz w:val="28"/>
          <w:szCs w:val="28"/>
        </w:rPr>
        <w:t>、學校、行政法人或非以營利為目的之事業或團體之邀請擔任非常態性之工作。</w:t>
      </w:r>
    </w:p>
    <w:p w:rsidR="00133D00" w:rsidRDefault="002616D2">
      <w:pPr>
        <w:pStyle w:val="a5"/>
        <w:numPr>
          <w:ilvl w:val="0"/>
          <w:numId w:val="2"/>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教師兼職有下列情形之一者，學校應不予核准或於兼職期間廢止其核准：</w:t>
      </w:r>
    </w:p>
    <w:p w:rsidR="00133D00" w:rsidRDefault="002616D2">
      <w:pPr>
        <w:pStyle w:val="a5"/>
        <w:numPr>
          <w:ilvl w:val="0"/>
          <w:numId w:val="46"/>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與本職工作性質不相容。</w:t>
      </w:r>
    </w:p>
    <w:p w:rsidR="00133D00" w:rsidRDefault="002616D2">
      <w:pPr>
        <w:pStyle w:val="a5"/>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教師評鑑未符合學校標準。</w:t>
      </w:r>
    </w:p>
    <w:p w:rsidR="00133D00" w:rsidRDefault="002616D2">
      <w:pPr>
        <w:pStyle w:val="a5"/>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對本職工作有不良影響之虞</w:t>
      </w:r>
      <w:r>
        <w:rPr>
          <w:rFonts w:ascii="標楷體" w:eastAsia="標楷體" w:hAnsi="標楷體" w:cs="標楷體"/>
          <w:sz w:val="28"/>
          <w:szCs w:val="28"/>
        </w:rPr>
        <w:t>。</w:t>
      </w:r>
    </w:p>
    <w:p w:rsidR="00133D00" w:rsidRDefault="002616D2">
      <w:pPr>
        <w:pStyle w:val="a5"/>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有損學校或教師形象之虞。</w:t>
      </w:r>
    </w:p>
    <w:p w:rsidR="00133D00" w:rsidRDefault="002616D2">
      <w:pPr>
        <w:pStyle w:val="a5"/>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有洩漏公務機密之虞。</w:t>
      </w:r>
    </w:p>
    <w:p w:rsidR="00133D00" w:rsidRDefault="002616D2">
      <w:pPr>
        <w:pStyle w:val="a5"/>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lastRenderedPageBreak/>
        <w:t>有營私舞弊之虞。</w:t>
      </w:r>
    </w:p>
    <w:p w:rsidR="00133D00" w:rsidRDefault="002616D2">
      <w:pPr>
        <w:pStyle w:val="a5"/>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有職務上不當利益輸送之虞。</w:t>
      </w:r>
    </w:p>
    <w:p w:rsidR="00133D00" w:rsidRDefault="002616D2">
      <w:pPr>
        <w:pStyle w:val="a5"/>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有支用公款或不當利用學校公物之虞。</w:t>
      </w:r>
    </w:p>
    <w:p w:rsidR="00133D00" w:rsidRDefault="002616D2">
      <w:pPr>
        <w:pStyle w:val="a5"/>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有違反教育中立之虞。</w:t>
      </w:r>
    </w:p>
    <w:p w:rsidR="00133D00" w:rsidRDefault="002616D2">
      <w:pPr>
        <w:pStyle w:val="a5"/>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有危害教師安全或健康之虞。</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各級學校應就教師之兼職每年定期進行評估檢討，作為是否同意教師繼續兼職之依據。</w:t>
      </w:r>
    </w:p>
    <w:p w:rsidR="00133D00" w:rsidRDefault="002616D2">
      <w:pPr>
        <w:pStyle w:val="a5"/>
        <w:numPr>
          <w:ilvl w:val="0"/>
          <w:numId w:val="2"/>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期間超過半年，且有下列情形之一者，除法令另有規定外，學校應與教師兼職之營利事業機構或團體訂定契約，並依兼職態樣及實際情況訂定回饋機制，其實質回饋每年以不低於兼職教師一個月在學校支領之薪給總額為原則；其以收取學術回饋金為回饋機制者，應納入校務基</w:t>
      </w:r>
      <w:r>
        <w:rPr>
          <w:rFonts w:ascii="標楷體" w:eastAsia="標楷體" w:hAnsi="標楷體" w:cs="標楷體"/>
          <w:color w:val="000000"/>
          <w:sz w:val="28"/>
          <w:szCs w:val="28"/>
        </w:rPr>
        <w:t>金運用或公務預算繳庫：</w:t>
      </w:r>
    </w:p>
    <w:p w:rsidR="00133D00" w:rsidRDefault="002616D2">
      <w:pPr>
        <w:pStyle w:val="a5"/>
        <w:numPr>
          <w:ilvl w:val="0"/>
          <w:numId w:val="47"/>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未兼任行政職務教師：</w:t>
      </w:r>
    </w:p>
    <w:p w:rsidR="00133D00" w:rsidRDefault="002616D2">
      <w:pPr>
        <w:pStyle w:val="a5"/>
        <w:numPr>
          <w:ilvl w:val="0"/>
          <w:numId w:val="48"/>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至第四點第一項第四款第一目所定與學校建立產學合作關係之營利事業機構或團體及第二項第四款所定與學校建立產學合作關係之外國公司兼職。</w:t>
      </w:r>
    </w:p>
    <w:p w:rsidR="00133D00" w:rsidRDefault="002616D2">
      <w:pPr>
        <w:pStyle w:val="a5"/>
        <w:numPr>
          <w:ilvl w:val="0"/>
          <w:numId w:val="20"/>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至第四點第一項第五款所定新創生技新藥公司兼職。</w:t>
      </w:r>
    </w:p>
    <w:p w:rsidR="00133D00" w:rsidRDefault="002616D2">
      <w:pPr>
        <w:pStyle w:val="Standard"/>
        <w:numPr>
          <w:ilvl w:val="0"/>
          <w:numId w:val="16"/>
        </w:numPr>
        <w:spacing w:line="440" w:lineRule="exact"/>
        <w:ind w:left="1124" w:hanging="560"/>
        <w:jc w:val="both"/>
        <w:rPr>
          <w:rFonts w:ascii="標楷體" w:eastAsia="標楷體" w:hAnsi="標楷體" w:cs="標楷體"/>
          <w:sz w:val="28"/>
          <w:szCs w:val="28"/>
        </w:rPr>
      </w:pPr>
      <w:r>
        <w:rPr>
          <w:rFonts w:ascii="標楷體" w:eastAsia="標楷體" w:hAnsi="標楷體" w:cs="標楷體"/>
          <w:color w:val="000000"/>
          <w:sz w:val="28"/>
          <w:szCs w:val="28"/>
        </w:rPr>
        <w:t>兼任行政職務教師，非代表政府機關</w:t>
      </w:r>
      <w:r>
        <w:rPr>
          <w:rFonts w:ascii="標楷體" w:eastAsia="標楷體" w:hAnsi="標楷體" w:cs="標楷體"/>
          <w:color w:val="000000"/>
          <w:sz w:val="28"/>
          <w:szCs w:val="28"/>
        </w:rPr>
        <w:t>(</w:t>
      </w:r>
      <w:r>
        <w:rPr>
          <w:rFonts w:ascii="標楷體" w:eastAsia="標楷體" w:hAnsi="標楷體" w:cs="標楷體"/>
          <w:color w:val="000000"/>
          <w:sz w:val="28"/>
          <w:szCs w:val="28"/>
        </w:rPr>
        <w:t>構</w:t>
      </w:r>
      <w:r>
        <w:rPr>
          <w:rFonts w:ascii="標楷體" w:eastAsia="標楷體" w:hAnsi="標楷體" w:cs="標楷體"/>
          <w:color w:val="000000"/>
          <w:sz w:val="28"/>
          <w:szCs w:val="28"/>
        </w:rPr>
        <w:t>)</w:t>
      </w:r>
      <w:r>
        <w:rPr>
          <w:rFonts w:ascii="標楷體" w:eastAsia="標楷體" w:hAnsi="標楷體" w:cs="標楷體"/>
          <w:color w:val="000000"/>
          <w:sz w:val="28"/>
          <w:szCs w:val="28"/>
        </w:rPr>
        <w:t>或學校股份，依</w:t>
      </w:r>
      <w:r>
        <w:rPr>
          <w:rFonts w:ascii="標楷體" w:eastAsia="標楷體" w:hAnsi="標楷體" w:cs="標楷體"/>
          <w:sz w:val="28"/>
          <w:szCs w:val="28"/>
        </w:rPr>
        <w:t>相關法令規定至營利事業機構或團體及生技新藥公司兼職。</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經選任為前項第一款第一目之獨立董事職務時，學校應請教師兼職之營利事業機構或團體於股東會後首次董事會作成自教師經選任為獨立董事之日起三個月內，與學校完成簽訂產學合作及學術回饋機制契約，溯自選任之日起生效之決議，並函知學校。</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兼任獨立董事程序符合前項規定者，自經選任之日起三個月內視為合法兼職；兼職之營利事業機構或團體於股東會後首次董事會無法作成前項決議時，學校應自始否准教師之該項兼職。屆期未完成簽訂產學合作及學術回饋機制契約，該項兼職同意函自三個月期間屆滿之次日起不生效力。</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教師兼任獨立董事所衍生之相關職務應依本原則相關規定提出申請，於前項所定三個月期間，執行職務所生效力與前二項相同。</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本原則中華民國一百零九年二月十三日修正發布前，教師兼任獨立董事之兼職機關</w:t>
      </w:r>
      <w:r>
        <w:rPr>
          <w:rFonts w:ascii="標楷體" w:eastAsia="標楷體" w:hAnsi="標楷體" w:cs="標楷體"/>
          <w:sz w:val="28"/>
          <w:szCs w:val="28"/>
        </w:rPr>
        <w:t>(</w:t>
      </w:r>
      <w:r>
        <w:rPr>
          <w:rFonts w:ascii="標楷體" w:eastAsia="標楷體" w:hAnsi="標楷體" w:cs="標楷體"/>
          <w:sz w:val="28"/>
          <w:szCs w:val="28"/>
        </w:rPr>
        <w:t>構</w:t>
      </w:r>
      <w:r>
        <w:rPr>
          <w:rFonts w:ascii="標楷體" w:eastAsia="標楷體" w:hAnsi="標楷體" w:cs="標楷體"/>
          <w:sz w:val="28"/>
          <w:szCs w:val="28"/>
        </w:rPr>
        <w:t>)</w:t>
      </w:r>
      <w:r>
        <w:rPr>
          <w:rFonts w:ascii="標楷體" w:eastAsia="標楷體" w:hAnsi="標楷體" w:cs="標楷體"/>
          <w:sz w:val="28"/>
          <w:szCs w:val="28"/>
        </w:rPr>
        <w:t>已召開股東會後首次董事會者，不受第二項及第三項規定之限制。</w:t>
      </w:r>
    </w:p>
    <w:p w:rsidR="00133D00" w:rsidRDefault="002616D2">
      <w:pPr>
        <w:pStyle w:val="a5"/>
        <w:numPr>
          <w:ilvl w:val="0"/>
          <w:numId w:val="2"/>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教師借調期間，其兼職依下列規定辦理，不受第七點至第十一點規定之限制：</w:t>
      </w:r>
    </w:p>
    <w:p w:rsidR="00133D00" w:rsidRDefault="002616D2">
      <w:pPr>
        <w:pStyle w:val="a5"/>
        <w:numPr>
          <w:ilvl w:val="0"/>
          <w:numId w:val="4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兼職期間不得超過借調期間，經借調機關（構）、學校、法人、事業或團體核准教師之兼職後，應副知原服務學校。</w:t>
      </w:r>
    </w:p>
    <w:p w:rsidR="00133D00" w:rsidRDefault="002616D2">
      <w:pPr>
        <w:pStyle w:val="a5"/>
        <w:numPr>
          <w:ilvl w:val="0"/>
          <w:numId w:val="17"/>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借調期間至營利事業機構或團體兼職，期間超過半年者，由原服務學校自行決定是否比照前點規定</w:t>
      </w:r>
      <w:r>
        <w:rPr>
          <w:rFonts w:ascii="標楷體" w:eastAsia="標楷體" w:hAnsi="標楷體" w:cs="標楷體"/>
          <w:sz w:val="28"/>
          <w:szCs w:val="28"/>
        </w:rPr>
        <w:t>，收取學術回饋金。</w:t>
      </w:r>
    </w:p>
    <w:p w:rsidR="00133D00" w:rsidRDefault="002616D2">
      <w:pPr>
        <w:pStyle w:val="a5"/>
        <w:numPr>
          <w:ilvl w:val="0"/>
          <w:numId w:val="2"/>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學校應就教師申請兼職建立校內審核管理機制進行實質審核；違反本原則規定之案件，應提送教師評審委員會或其他會議進行審議。</w:t>
      </w:r>
    </w:p>
    <w:p w:rsidR="00133D00" w:rsidRDefault="002616D2">
      <w:pPr>
        <w:pStyle w:val="a5"/>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前項違反規定期間所支領之兼職費，應納入校務基金運用或公務預算繳庫，並由學校列入聘約規範予以追繳。</w:t>
      </w:r>
    </w:p>
    <w:p w:rsidR="00133D00" w:rsidRDefault="002616D2">
      <w:pPr>
        <w:pStyle w:val="a5"/>
        <w:numPr>
          <w:ilvl w:val="0"/>
          <w:numId w:val="2"/>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各級學校依本原則訂定之校內規定，應經校務會議通過後實施。</w:t>
      </w:r>
    </w:p>
    <w:p w:rsidR="00133D00" w:rsidRDefault="002616D2">
      <w:pPr>
        <w:pStyle w:val="a5"/>
        <w:numPr>
          <w:ilvl w:val="0"/>
          <w:numId w:val="2"/>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各級主管教育行政機關或學校定有較本原則更嚴格之規定者，從其規定。</w:t>
      </w:r>
    </w:p>
    <w:sectPr w:rsidR="00133D00">
      <w:footerReference w:type="default" r:id="rId7"/>
      <w:pgSz w:w="11906" w:h="16838"/>
      <w:pgMar w:top="1134" w:right="1304" w:bottom="1134" w:left="1304" w:header="720"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6D2" w:rsidRDefault="002616D2">
      <w:pPr>
        <w:rPr>
          <w:rFonts w:hint="eastAsia"/>
        </w:rPr>
      </w:pPr>
      <w:r>
        <w:separator/>
      </w:r>
    </w:p>
  </w:endnote>
  <w:endnote w:type="continuationSeparator" w:id="0">
    <w:p w:rsidR="002616D2" w:rsidRDefault="002616D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新細明體, PMingLiU">
    <w:charset w:val="00"/>
    <w:family w:val="roman"/>
    <w:pitch w:val="variable"/>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細明體, MingLiU">
    <w:charset w:val="00"/>
    <w:family w:val="moder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AA6" w:rsidRDefault="002616D2">
    <w:pPr>
      <w:pStyle w:val="a7"/>
      <w:jc w:val="center"/>
    </w:pPr>
    <w:r>
      <w:fldChar w:fldCharType="begin"/>
    </w:r>
    <w:r>
      <w:instrText xml:space="preserve"> PAGE </w:instrText>
    </w:r>
    <w:r>
      <w:fldChar w:fldCharType="separate"/>
    </w:r>
    <w:r w:rsidR="003D5A57">
      <w:rPr>
        <w:noProof/>
      </w:rPr>
      <w:t>2</w:t>
    </w:r>
    <w:r>
      <w:fldChar w:fldCharType="end"/>
    </w:r>
  </w:p>
  <w:p w:rsidR="00A01AA6" w:rsidRDefault="002616D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6D2" w:rsidRDefault="002616D2">
      <w:pPr>
        <w:rPr>
          <w:rFonts w:hint="eastAsia"/>
        </w:rPr>
      </w:pPr>
      <w:r>
        <w:rPr>
          <w:color w:val="000000"/>
        </w:rPr>
        <w:separator/>
      </w:r>
    </w:p>
  </w:footnote>
  <w:footnote w:type="continuationSeparator" w:id="0">
    <w:p w:rsidR="002616D2" w:rsidRDefault="002616D2">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F62BC"/>
    <w:multiLevelType w:val="multilevel"/>
    <w:tmpl w:val="44DE86BE"/>
    <w:styleLink w:val="WW8Num1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847345B"/>
    <w:multiLevelType w:val="multilevel"/>
    <w:tmpl w:val="687CB5FE"/>
    <w:styleLink w:val="WW8Num30"/>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 w15:restartNumberingAfterBreak="0">
    <w:nsid w:val="10DD269F"/>
    <w:multiLevelType w:val="multilevel"/>
    <w:tmpl w:val="CE624558"/>
    <w:styleLink w:val="WWNum1"/>
    <w:lvl w:ilvl="0">
      <w:start w:val="1"/>
      <w:numFmt w:val="japaneseCounting"/>
      <w:lvlText w:val="%1、"/>
      <w:lvlJc w:val="left"/>
      <w:pPr>
        <w:ind w:left="480" w:hanging="480"/>
      </w:pPr>
      <w:rPr>
        <w:rFonts w:ascii="標楷體" w:eastAsia="標楷體" w:hAnsi="標楷體" w:cs="標楷體"/>
        <w:sz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 w15:restartNumberingAfterBreak="0">
    <w:nsid w:val="14FC2BA0"/>
    <w:multiLevelType w:val="multilevel"/>
    <w:tmpl w:val="9BFA5628"/>
    <w:styleLink w:val="WW8Num26"/>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4" w15:restartNumberingAfterBreak="0">
    <w:nsid w:val="155E7284"/>
    <w:multiLevelType w:val="multilevel"/>
    <w:tmpl w:val="091A66A4"/>
    <w:styleLink w:val="WW8Num25"/>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5" w15:restartNumberingAfterBreak="0">
    <w:nsid w:val="15E472FA"/>
    <w:multiLevelType w:val="multilevel"/>
    <w:tmpl w:val="75082E0C"/>
    <w:styleLink w:val="WW8Num4"/>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6" w15:restartNumberingAfterBreak="0">
    <w:nsid w:val="1CA634C3"/>
    <w:multiLevelType w:val="multilevel"/>
    <w:tmpl w:val="9D02D6F6"/>
    <w:styleLink w:val="WW8Num14"/>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7" w15:restartNumberingAfterBreak="0">
    <w:nsid w:val="1F070276"/>
    <w:multiLevelType w:val="multilevel"/>
    <w:tmpl w:val="315E3D78"/>
    <w:styleLink w:val="WW8Num7"/>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8" w15:restartNumberingAfterBreak="0">
    <w:nsid w:val="20CA2662"/>
    <w:multiLevelType w:val="multilevel"/>
    <w:tmpl w:val="7D467B38"/>
    <w:styleLink w:val="WW8Num31"/>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9" w15:restartNumberingAfterBreak="0">
    <w:nsid w:val="225423B7"/>
    <w:multiLevelType w:val="multilevel"/>
    <w:tmpl w:val="9F8E95C0"/>
    <w:styleLink w:val="WW8Num1"/>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0" w15:restartNumberingAfterBreak="0">
    <w:nsid w:val="22B24D02"/>
    <w:multiLevelType w:val="multilevel"/>
    <w:tmpl w:val="11289156"/>
    <w:styleLink w:val="WW8Num13"/>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1" w15:restartNumberingAfterBreak="0">
    <w:nsid w:val="26774B12"/>
    <w:multiLevelType w:val="multilevel"/>
    <w:tmpl w:val="5300B596"/>
    <w:styleLink w:val="WW8Num23"/>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2" w15:restartNumberingAfterBreak="0">
    <w:nsid w:val="26E71813"/>
    <w:multiLevelType w:val="multilevel"/>
    <w:tmpl w:val="668EED7A"/>
    <w:styleLink w:val="WW8Num9"/>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3" w15:restartNumberingAfterBreak="0">
    <w:nsid w:val="28964374"/>
    <w:multiLevelType w:val="multilevel"/>
    <w:tmpl w:val="0C6E43F8"/>
    <w:styleLink w:val="WW8Num28"/>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4" w15:restartNumberingAfterBreak="0">
    <w:nsid w:val="29210B7C"/>
    <w:multiLevelType w:val="multilevel"/>
    <w:tmpl w:val="9620E6FE"/>
    <w:styleLink w:val="WW8Num3"/>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5" w15:restartNumberingAfterBreak="0">
    <w:nsid w:val="2B1A37E9"/>
    <w:multiLevelType w:val="multilevel"/>
    <w:tmpl w:val="35684444"/>
    <w:styleLink w:val="WW8Num21"/>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6" w15:restartNumberingAfterBreak="0">
    <w:nsid w:val="2C4624DE"/>
    <w:multiLevelType w:val="multilevel"/>
    <w:tmpl w:val="242024CC"/>
    <w:styleLink w:val="WW8Num15"/>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7" w15:restartNumberingAfterBreak="0">
    <w:nsid w:val="32191728"/>
    <w:multiLevelType w:val="multilevel"/>
    <w:tmpl w:val="F9DC1740"/>
    <w:styleLink w:val="WW8Num2"/>
    <w:lvl w:ilvl="0">
      <w:start w:val="1"/>
      <w:numFmt w:val="japaneseCounting"/>
      <w:suff w:val="nothing"/>
      <w:lvlText w:val="%1、"/>
      <w:lvlJc w:val="left"/>
      <w:pPr>
        <w:ind w:left="480" w:hanging="480"/>
      </w:pPr>
      <w:rPr>
        <w:rFonts w:ascii="標楷體" w:eastAsia="標楷體" w:hAnsi="標楷體" w:cs="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361F0192"/>
    <w:multiLevelType w:val="multilevel"/>
    <w:tmpl w:val="E5D811AA"/>
    <w:styleLink w:val="WW8Num19"/>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9" w15:restartNumberingAfterBreak="0">
    <w:nsid w:val="364237A4"/>
    <w:multiLevelType w:val="multilevel"/>
    <w:tmpl w:val="BB3C87FC"/>
    <w:styleLink w:val="WW8Num22"/>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0" w15:restartNumberingAfterBreak="0">
    <w:nsid w:val="392B61AA"/>
    <w:multiLevelType w:val="multilevel"/>
    <w:tmpl w:val="EB26C1CE"/>
    <w:styleLink w:val="WW8Num18"/>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1" w15:restartNumberingAfterBreak="0">
    <w:nsid w:val="4C231E42"/>
    <w:multiLevelType w:val="multilevel"/>
    <w:tmpl w:val="00900196"/>
    <w:styleLink w:val="WW8Num12"/>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2" w15:restartNumberingAfterBreak="0">
    <w:nsid w:val="57E005B8"/>
    <w:multiLevelType w:val="multilevel"/>
    <w:tmpl w:val="07DE0BD6"/>
    <w:styleLink w:val="WW8Num17"/>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3" w15:restartNumberingAfterBreak="0">
    <w:nsid w:val="59B95DB0"/>
    <w:multiLevelType w:val="multilevel"/>
    <w:tmpl w:val="DA384F22"/>
    <w:styleLink w:val="WW8Num8"/>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4" w15:restartNumberingAfterBreak="0">
    <w:nsid w:val="5A967789"/>
    <w:multiLevelType w:val="multilevel"/>
    <w:tmpl w:val="04D81CB8"/>
    <w:styleLink w:val="WW8Num32"/>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5" w15:restartNumberingAfterBreak="0">
    <w:nsid w:val="5B8C4872"/>
    <w:multiLevelType w:val="multilevel"/>
    <w:tmpl w:val="E5742D1E"/>
    <w:styleLink w:val="WW8Num24"/>
    <w:lvl w:ilvl="0">
      <w:start w:val="1"/>
      <w:numFmt w:val="decimal"/>
      <w:lvlText w:val="%1、"/>
      <w:lvlJc w:val="left"/>
      <w:pPr>
        <w:ind w:left="1680" w:hanging="360"/>
      </w:pPr>
      <w:rPr>
        <w:rFonts w:ascii="標楷體" w:eastAsia="標楷體" w:hAnsi="標楷體" w:cs="標楷體"/>
        <w:color w:val="000000"/>
        <w:sz w:val="28"/>
        <w:szCs w:val="24"/>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26" w15:restartNumberingAfterBreak="0">
    <w:nsid w:val="60F97EB2"/>
    <w:multiLevelType w:val="multilevel"/>
    <w:tmpl w:val="823E2C58"/>
    <w:styleLink w:val="WW8Num11"/>
    <w:lvl w:ilvl="0">
      <w:start w:val="1"/>
      <w:numFmt w:val="japaneseCounting"/>
      <w:lvlText w:val="(%1)"/>
      <w:lvlJc w:val="left"/>
      <w:pPr>
        <w:ind w:left="13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7" w15:restartNumberingAfterBreak="0">
    <w:nsid w:val="6C5D7979"/>
    <w:multiLevelType w:val="multilevel"/>
    <w:tmpl w:val="F5FC5AB6"/>
    <w:styleLink w:val="WW8Num27"/>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8" w15:restartNumberingAfterBreak="0">
    <w:nsid w:val="6C6067B1"/>
    <w:multiLevelType w:val="multilevel"/>
    <w:tmpl w:val="968603FA"/>
    <w:styleLink w:val="WW8Num5"/>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29" w15:restartNumberingAfterBreak="0">
    <w:nsid w:val="70680618"/>
    <w:multiLevelType w:val="multilevel"/>
    <w:tmpl w:val="D3505CDE"/>
    <w:styleLink w:val="WW8Num6"/>
    <w:lvl w:ilvl="0">
      <w:start w:val="1"/>
      <w:numFmt w:val="decimal"/>
      <w:lvlText w:val="%1、"/>
      <w:lvlJc w:val="left"/>
      <w:pPr>
        <w:ind w:left="1680" w:hanging="360"/>
      </w:p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30" w15:restartNumberingAfterBreak="0">
    <w:nsid w:val="70DA22E4"/>
    <w:multiLevelType w:val="multilevel"/>
    <w:tmpl w:val="6354133A"/>
    <w:styleLink w:val="WW8Num29"/>
    <w:lvl w:ilvl="0">
      <w:start w:val="1"/>
      <w:numFmt w:val="japaneseCounting"/>
      <w:suff w:val="nothing"/>
      <w:lvlText w:val="(%1)"/>
      <w:lvlJc w:val="left"/>
      <w:pPr>
        <w:ind w:left="720" w:hanging="72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31" w15:restartNumberingAfterBreak="0">
    <w:nsid w:val="773447A0"/>
    <w:multiLevelType w:val="multilevel"/>
    <w:tmpl w:val="05BA0EA2"/>
    <w:styleLink w:val="WW8Num16"/>
    <w:lvl w:ilvl="0">
      <w:start w:val="1"/>
      <w:numFmt w:val="japaneseCounting"/>
      <w:suff w:val="nothing"/>
      <w:lvlText w:val="(%1)"/>
      <w:lvlJc w:val="left"/>
      <w:pPr>
        <w:ind w:left="720" w:hanging="720"/>
      </w:pPr>
      <w:rPr>
        <w:rFonts w:ascii="標楷體" w:eastAsia="標楷體" w:hAnsi="標楷體" w:cs="標楷體"/>
        <w:sz w:val="28"/>
        <w:szCs w:val="28"/>
      </w:r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32" w15:restartNumberingAfterBreak="0">
    <w:nsid w:val="7D8A7B65"/>
    <w:multiLevelType w:val="multilevel"/>
    <w:tmpl w:val="332C8464"/>
    <w:styleLink w:val="WW8Num20"/>
    <w:lvl w:ilvl="0">
      <w:start w:val="1"/>
      <w:numFmt w:val="decimal"/>
      <w:lvlText w:val="%1、"/>
      <w:lvlJc w:val="left"/>
      <w:pPr>
        <w:ind w:left="1680" w:hanging="360"/>
      </w:p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num w:numId="1">
    <w:abstractNumId w:val="9"/>
  </w:num>
  <w:num w:numId="2">
    <w:abstractNumId w:val="17"/>
  </w:num>
  <w:num w:numId="3">
    <w:abstractNumId w:val="14"/>
  </w:num>
  <w:num w:numId="4">
    <w:abstractNumId w:val="5"/>
  </w:num>
  <w:num w:numId="5">
    <w:abstractNumId w:val="28"/>
  </w:num>
  <w:num w:numId="6">
    <w:abstractNumId w:val="29"/>
  </w:num>
  <w:num w:numId="7">
    <w:abstractNumId w:val="7"/>
  </w:num>
  <w:num w:numId="8">
    <w:abstractNumId w:val="23"/>
  </w:num>
  <w:num w:numId="9">
    <w:abstractNumId w:val="12"/>
  </w:num>
  <w:num w:numId="10">
    <w:abstractNumId w:val="0"/>
  </w:num>
  <w:num w:numId="11">
    <w:abstractNumId w:val="26"/>
  </w:num>
  <w:num w:numId="12">
    <w:abstractNumId w:val="21"/>
  </w:num>
  <w:num w:numId="13">
    <w:abstractNumId w:val="10"/>
  </w:num>
  <w:num w:numId="14">
    <w:abstractNumId w:val="6"/>
  </w:num>
  <w:num w:numId="15">
    <w:abstractNumId w:val="16"/>
  </w:num>
  <w:num w:numId="16">
    <w:abstractNumId w:val="31"/>
  </w:num>
  <w:num w:numId="17">
    <w:abstractNumId w:val="22"/>
  </w:num>
  <w:num w:numId="18">
    <w:abstractNumId w:val="20"/>
  </w:num>
  <w:num w:numId="19">
    <w:abstractNumId w:val="18"/>
  </w:num>
  <w:num w:numId="20">
    <w:abstractNumId w:val="32"/>
  </w:num>
  <w:num w:numId="21">
    <w:abstractNumId w:val="15"/>
  </w:num>
  <w:num w:numId="22">
    <w:abstractNumId w:val="19"/>
  </w:num>
  <w:num w:numId="23">
    <w:abstractNumId w:val="11"/>
  </w:num>
  <w:num w:numId="24">
    <w:abstractNumId w:val="25"/>
  </w:num>
  <w:num w:numId="25">
    <w:abstractNumId w:val="4"/>
  </w:num>
  <w:num w:numId="26">
    <w:abstractNumId w:val="3"/>
  </w:num>
  <w:num w:numId="27">
    <w:abstractNumId w:val="27"/>
  </w:num>
  <w:num w:numId="28">
    <w:abstractNumId w:val="13"/>
  </w:num>
  <w:num w:numId="29">
    <w:abstractNumId w:val="30"/>
  </w:num>
  <w:num w:numId="30">
    <w:abstractNumId w:val="1"/>
  </w:num>
  <w:num w:numId="31">
    <w:abstractNumId w:val="8"/>
  </w:num>
  <w:num w:numId="32">
    <w:abstractNumId w:val="24"/>
  </w:num>
  <w:num w:numId="33">
    <w:abstractNumId w:val="2"/>
  </w:num>
  <w:num w:numId="34">
    <w:abstractNumId w:val="17"/>
    <w:lvlOverride w:ilvl="0">
      <w:startOverride w:val="1"/>
    </w:lvlOverride>
  </w:num>
  <w:num w:numId="35">
    <w:abstractNumId w:val="4"/>
    <w:lvlOverride w:ilvl="0">
      <w:startOverride w:val="1"/>
    </w:lvlOverride>
  </w:num>
  <w:num w:numId="36">
    <w:abstractNumId w:val="30"/>
    <w:lvlOverride w:ilvl="0">
      <w:startOverride w:val="1"/>
    </w:lvlOverride>
  </w:num>
  <w:num w:numId="37">
    <w:abstractNumId w:val="29"/>
    <w:lvlOverride w:ilvl="0">
      <w:startOverride w:val="1"/>
    </w:lvlOverride>
  </w:num>
  <w:num w:numId="38">
    <w:abstractNumId w:val="25"/>
    <w:lvlOverride w:ilvl="0">
      <w:startOverride w:val="1"/>
    </w:lvlOverride>
  </w:num>
  <w:num w:numId="39">
    <w:abstractNumId w:val="23"/>
    <w:lvlOverride w:ilvl="0">
      <w:startOverride w:val="1"/>
    </w:lvlOverride>
  </w:num>
  <w:num w:numId="40">
    <w:abstractNumId w:val="21"/>
    <w:lvlOverride w:ilvl="0">
      <w:startOverride w:val="1"/>
    </w:lvlOverride>
  </w:num>
  <w:num w:numId="41">
    <w:abstractNumId w:val="15"/>
    <w:lvlOverride w:ilvl="0">
      <w:startOverride w:val="1"/>
    </w:lvlOverride>
  </w:num>
  <w:num w:numId="42">
    <w:abstractNumId w:val="6"/>
    <w:lvlOverride w:ilvl="0">
      <w:startOverride w:val="1"/>
    </w:lvlOverride>
  </w:num>
  <w:num w:numId="43">
    <w:abstractNumId w:val="8"/>
    <w:lvlOverride w:ilvl="0">
      <w:startOverride w:val="1"/>
    </w:lvlOverride>
  </w:num>
  <w:num w:numId="44">
    <w:abstractNumId w:val="27"/>
    <w:lvlOverride w:ilvl="0">
      <w:startOverride w:val="1"/>
    </w:lvlOverride>
  </w:num>
  <w:num w:numId="45">
    <w:abstractNumId w:val="28"/>
    <w:lvlOverride w:ilvl="0">
      <w:startOverride w:val="1"/>
    </w:lvlOverride>
  </w:num>
  <w:num w:numId="46">
    <w:abstractNumId w:val="12"/>
    <w:lvlOverride w:ilvl="0">
      <w:startOverride w:val="1"/>
    </w:lvlOverride>
  </w:num>
  <w:num w:numId="47">
    <w:abstractNumId w:val="31"/>
    <w:lvlOverride w:ilvl="0">
      <w:startOverride w:val="1"/>
    </w:lvlOverride>
  </w:num>
  <w:num w:numId="48">
    <w:abstractNumId w:val="32"/>
    <w:lvlOverride w:ilvl="0">
      <w:startOverride w:val="1"/>
    </w:lvlOverride>
  </w:num>
  <w:num w:numId="49">
    <w:abstractNumId w:val="2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133D00"/>
    <w:rsid w:val="00133D00"/>
    <w:rsid w:val="002616D2"/>
    <w:rsid w:val="003D5A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F7AD99-60F5-42E8-A5F6-0B14D081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Calibri" w:eastAsia="新細明體, PMingLiU" w:hAnsi="Calibri" w:cs="Times New Roman"/>
      <w:szCs w:val="22"/>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76"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styleId="a5">
    <w:name w:val="List Paragraph"/>
    <w:basedOn w:val="Standard"/>
    <w:pPr>
      <w:ind w:left="480"/>
    </w:pPr>
  </w:style>
  <w:style w:type="paragraph" w:styleId="HTML">
    <w:name w:val="HTML Preformatted"/>
    <w:basedOn w:val="Standard"/>
    <w:pPr>
      <w:widowControl/>
    </w:pPr>
    <w:rPr>
      <w:rFonts w:ascii="細明體, MingLiU" w:eastAsia="細明體, MingLiU" w:hAnsi="細明體, MingLiU" w:cs="細明體, MingLiU"/>
      <w:kern w:val="0"/>
      <w:szCs w:val="24"/>
    </w:rPr>
  </w:style>
  <w:style w:type="paragraph" w:styleId="a6">
    <w:name w:val="header"/>
    <w:basedOn w:val="Standard"/>
    <w:pPr>
      <w:snapToGrid w:val="0"/>
    </w:pPr>
    <w:rPr>
      <w:sz w:val="20"/>
      <w:szCs w:val="20"/>
    </w:rPr>
  </w:style>
  <w:style w:type="paragraph" w:styleId="a7">
    <w:name w:val="footer"/>
    <w:basedOn w:val="Standard"/>
    <w:pPr>
      <w:snapToGrid w:val="0"/>
    </w:pPr>
    <w:rPr>
      <w:sz w:val="20"/>
      <w:szCs w:val="20"/>
    </w:rPr>
  </w:style>
  <w:style w:type="paragraph" w:customStyle="1" w:styleId="DocumentMap">
    <w:name w:val="DocumentMap"/>
    <w:pPr>
      <w:widowControl/>
      <w:textAlignment w:val="auto"/>
    </w:pPr>
    <w:rPr>
      <w:rFonts w:ascii="Calibri" w:hAnsi="Calibri" w:cs="Calibri"/>
      <w:szCs w:val="22"/>
      <w:lang w:bidi="ar-SA"/>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標楷體"/>
      <w:lang w:val="en-US"/>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標楷體" w:eastAsia="標楷體" w:hAnsi="標楷體" w:cs="標楷體"/>
      <w:sz w:val="28"/>
      <w:szCs w:val="28"/>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標楷體" w:eastAsia="標楷體" w:hAnsi="標楷體" w:cs="標楷體"/>
      <w:color w:val="000000"/>
      <w:sz w:val="28"/>
      <w:szCs w:val="24"/>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HTML0">
    <w:name w:val="HTML 預設格式 字元"/>
    <w:rPr>
      <w:rFonts w:ascii="細明體, MingLiU" w:eastAsia="細明體, MingLiU" w:hAnsi="細明體, MingLiU" w:cs="細明體, MingLiU"/>
      <w:kern w:val="0"/>
      <w:szCs w:val="24"/>
    </w:rPr>
  </w:style>
  <w:style w:type="character" w:customStyle="1" w:styleId="a8">
    <w:name w:val="頁首 字元"/>
    <w:rPr>
      <w:sz w:val="20"/>
      <w:szCs w:val="20"/>
    </w:rPr>
  </w:style>
  <w:style w:type="character" w:customStyle="1" w:styleId="a9">
    <w:name w:val="頁尾 字元"/>
    <w:rPr>
      <w:sz w:val="20"/>
      <w:szCs w:val="20"/>
    </w:rPr>
  </w:style>
  <w:style w:type="character" w:customStyle="1" w:styleId="ListLabel1">
    <w:name w:val="ListLabel 1"/>
    <w:rPr>
      <w:rFonts w:ascii="標楷體" w:eastAsia="標楷體" w:hAnsi="標楷體" w:cs="標楷體"/>
      <w:sz w:val="28"/>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 w:type="numbering" w:customStyle="1" w:styleId="WW8Num14">
    <w:name w:val="WW8Num14"/>
    <w:basedOn w:val="a2"/>
    <w:pPr>
      <w:numPr>
        <w:numId w:val="14"/>
      </w:numPr>
    </w:pPr>
  </w:style>
  <w:style w:type="numbering" w:customStyle="1" w:styleId="WW8Num15">
    <w:name w:val="WW8Num15"/>
    <w:basedOn w:val="a2"/>
    <w:pPr>
      <w:numPr>
        <w:numId w:val="15"/>
      </w:numPr>
    </w:pPr>
  </w:style>
  <w:style w:type="numbering" w:customStyle="1" w:styleId="WW8Num16">
    <w:name w:val="WW8Num16"/>
    <w:basedOn w:val="a2"/>
    <w:pPr>
      <w:numPr>
        <w:numId w:val="16"/>
      </w:numPr>
    </w:pPr>
  </w:style>
  <w:style w:type="numbering" w:customStyle="1" w:styleId="WW8Num17">
    <w:name w:val="WW8Num17"/>
    <w:basedOn w:val="a2"/>
    <w:pPr>
      <w:numPr>
        <w:numId w:val="17"/>
      </w:numPr>
    </w:pPr>
  </w:style>
  <w:style w:type="numbering" w:customStyle="1" w:styleId="WW8Num18">
    <w:name w:val="WW8Num18"/>
    <w:basedOn w:val="a2"/>
    <w:pPr>
      <w:numPr>
        <w:numId w:val="18"/>
      </w:numPr>
    </w:pPr>
  </w:style>
  <w:style w:type="numbering" w:customStyle="1" w:styleId="WW8Num19">
    <w:name w:val="WW8Num19"/>
    <w:basedOn w:val="a2"/>
    <w:pPr>
      <w:numPr>
        <w:numId w:val="19"/>
      </w:numPr>
    </w:pPr>
  </w:style>
  <w:style w:type="numbering" w:customStyle="1" w:styleId="WW8Num20">
    <w:name w:val="WW8Num20"/>
    <w:basedOn w:val="a2"/>
    <w:pPr>
      <w:numPr>
        <w:numId w:val="20"/>
      </w:numPr>
    </w:pPr>
  </w:style>
  <w:style w:type="numbering" w:customStyle="1" w:styleId="WW8Num21">
    <w:name w:val="WW8Num21"/>
    <w:basedOn w:val="a2"/>
    <w:pPr>
      <w:numPr>
        <w:numId w:val="21"/>
      </w:numPr>
    </w:pPr>
  </w:style>
  <w:style w:type="numbering" w:customStyle="1" w:styleId="WW8Num22">
    <w:name w:val="WW8Num22"/>
    <w:basedOn w:val="a2"/>
    <w:pPr>
      <w:numPr>
        <w:numId w:val="22"/>
      </w:numPr>
    </w:pPr>
  </w:style>
  <w:style w:type="numbering" w:customStyle="1" w:styleId="WW8Num23">
    <w:name w:val="WW8Num23"/>
    <w:basedOn w:val="a2"/>
    <w:pPr>
      <w:numPr>
        <w:numId w:val="23"/>
      </w:numPr>
    </w:pPr>
  </w:style>
  <w:style w:type="numbering" w:customStyle="1" w:styleId="WW8Num24">
    <w:name w:val="WW8Num24"/>
    <w:basedOn w:val="a2"/>
    <w:pPr>
      <w:numPr>
        <w:numId w:val="24"/>
      </w:numPr>
    </w:pPr>
  </w:style>
  <w:style w:type="numbering" w:customStyle="1" w:styleId="WW8Num25">
    <w:name w:val="WW8Num25"/>
    <w:basedOn w:val="a2"/>
    <w:pPr>
      <w:numPr>
        <w:numId w:val="25"/>
      </w:numPr>
    </w:pPr>
  </w:style>
  <w:style w:type="numbering" w:customStyle="1" w:styleId="WW8Num26">
    <w:name w:val="WW8Num26"/>
    <w:basedOn w:val="a2"/>
    <w:pPr>
      <w:numPr>
        <w:numId w:val="26"/>
      </w:numPr>
    </w:pPr>
  </w:style>
  <w:style w:type="numbering" w:customStyle="1" w:styleId="WW8Num27">
    <w:name w:val="WW8Num27"/>
    <w:basedOn w:val="a2"/>
    <w:pPr>
      <w:numPr>
        <w:numId w:val="27"/>
      </w:numPr>
    </w:pPr>
  </w:style>
  <w:style w:type="numbering" w:customStyle="1" w:styleId="WW8Num28">
    <w:name w:val="WW8Num28"/>
    <w:basedOn w:val="a2"/>
    <w:pPr>
      <w:numPr>
        <w:numId w:val="28"/>
      </w:numPr>
    </w:pPr>
  </w:style>
  <w:style w:type="numbering" w:customStyle="1" w:styleId="WW8Num29">
    <w:name w:val="WW8Num29"/>
    <w:basedOn w:val="a2"/>
    <w:pPr>
      <w:numPr>
        <w:numId w:val="29"/>
      </w:numPr>
    </w:pPr>
  </w:style>
  <w:style w:type="numbering" w:customStyle="1" w:styleId="WW8Num30">
    <w:name w:val="WW8Num30"/>
    <w:basedOn w:val="a2"/>
    <w:pPr>
      <w:numPr>
        <w:numId w:val="30"/>
      </w:numPr>
    </w:pPr>
  </w:style>
  <w:style w:type="numbering" w:customStyle="1" w:styleId="WW8Num31">
    <w:name w:val="WW8Num31"/>
    <w:basedOn w:val="a2"/>
    <w:pPr>
      <w:numPr>
        <w:numId w:val="31"/>
      </w:numPr>
    </w:pPr>
  </w:style>
  <w:style w:type="numbering" w:customStyle="1" w:styleId="WW8Num32">
    <w:name w:val="WW8Num32"/>
    <w:basedOn w:val="a2"/>
    <w:pPr>
      <w:numPr>
        <w:numId w:val="32"/>
      </w:numPr>
    </w:pPr>
  </w:style>
  <w:style w:type="numbering" w:customStyle="1" w:styleId="WWNum1">
    <w:name w:val="WWNum1"/>
    <w:basedOn w:val="a2"/>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597</Words>
  <Characters>3403</Characters>
  <Application>Microsoft Office Word</Application>
  <DocSecurity>0</DocSecurity>
  <Lines>28</Lines>
  <Paragraphs>7</Paragraphs>
  <ScaleCrop>false</ScaleCrop>
  <Company/>
  <LinksUpToDate>false</LinksUpToDate>
  <CharactersWithSpaces>3993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葉怡伶</dc:creator>
  <cp:keywords/>
  <dc:description/>
  <cp:lastModifiedBy>User</cp:lastModifiedBy>
  <cp:revision>2</cp:revision>
  <cp:lastPrinted>2020-02-10T10:08:00Z</cp:lastPrinted>
  <dcterms:created xsi:type="dcterms:W3CDTF">2020-03-02T03:08:00Z</dcterms:created>
  <dcterms:modified xsi:type="dcterms:W3CDTF">2020-03-02T03:08:00Z</dcterms:modified>
</cp:coreProperties>
</file>